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ED65AC" w14:paraId="18DAC0AC" w14:textId="1CEAC75E">
            <w:pPr>
              <w:spacing w:after="0" w:line="240" w:lineRule="auto"/>
              <w:jc w:val="both"/>
              <w:rPr>
                <w:rFonts w:ascii="Arial" w:hAnsi="Arial" w:cs="Arial"/>
                <w:bCs/>
                <w:sz w:val="20"/>
                <w:szCs w:val="20"/>
              </w:rPr>
            </w:pPr>
            <w:r w:rsidRPr="00ED65AC">
              <w:rPr>
                <w:rFonts w:ascii="Arial" w:hAnsi="Arial" w:cs="Arial"/>
                <w:bCs/>
                <w:sz w:val="20"/>
                <w:szCs w:val="20"/>
              </w:rPr>
              <w:t>OFICINA ASESORA DE PLANEACIÓN</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081A09" w14:paraId="75DB3369" w14:textId="7686FCC5">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60531D" w:rsidP="0060531D" w:rsidRDefault="00722DE4" w14:paraId="755033E9" w14:textId="0CED139D">
            <w:pPr>
              <w:tabs>
                <w:tab w:val="left" w:pos="1845"/>
              </w:tabs>
              <w:snapToGrid w:val="0"/>
              <w:spacing w:after="0" w:line="240" w:lineRule="auto"/>
              <w:jc w:val="both"/>
              <w:rPr>
                <w:rFonts w:ascii="Arial" w:hAnsi="Arial" w:eastAsia="Times New Roman" w:cs="Arial"/>
                <w:bCs/>
                <w:sz w:val="20"/>
                <w:szCs w:val="20"/>
              </w:rPr>
            </w:pPr>
            <w:r w:rsidRPr="00722DE4">
              <w:t>Detección y Análisis de Necesidades Estadísticas</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D65AC" w:rsidRDefault="00722DE4" w14:paraId="4A97D454" w14:textId="3C05ABC0">
            <w:pPr>
              <w:tabs>
                <w:tab w:val="center" w:pos="2788"/>
              </w:tabs>
              <w:snapToGrid w:val="0"/>
              <w:spacing w:after="0" w:line="240" w:lineRule="auto"/>
              <w:jc w:val="both"/>
              <w:rPr>
                <w:rFonts w:ascii="Arial" w:hAnsi="Arial" w:eastAsia="Times New Roman" w:cs="Arial"/>
                <w:bCs/>
                <w:sz w:val="20"/>
                <w:szCs w:val="20"/>
              </w:rPr>
            </w:pPr>
            <w:r>
              <w:rPr>
                <w:rFonts w:ascii="Arial" w:hAnsi="Arial" w:eastAsia="Times New Roman" w:cs="Arial"/>
                <w:bCs/>
                <w:sz w:val="20"/>
                <w:szCs w:val="20"/>
              </w:rPr>
              <w:t>P</w:t>
            </w:r>
            <w:r w:rsidRPr="00722DE4">
              <w:rPr>
                <w:rFonts w:ascii="Arial" w:hAnsi="Arial" w:eastAsia="Times New Roman" w:cs="Arial"/>
                <w:bCs/>
                <w:sz w:val="20"/>
                <w:szCs w:val="20"/>
              </w:rPr>
              <w:t xml:space="preserve">lan General de la Operación </w:t>
            </w:r>
            <w:r w:rsidRPr="00722DE4">
              <w:rPr>
                <w:rFonts w:ascii="Arial" w:hAnsi="Arial" w:eastAsia="Times New Roman" w:cs="Arial"/>
                <w:bCs/>
                <w:sz w:val="20"/>
                <w:szCs w:val="20"/>
              </w:rPr>
              <w:t>Estadística (</w:t>
            </w:r>
            <w:r w:rsidRPr="00722DE4">
              <w:rPr>
                <w:rFonts w:ascii="Arial" w:hAnsi="Arial" w:eastAsia="Times New Roman" w:cs="Arial"/>
                <w:bCs/>
                <w:sz w:val="20"/>
                <w:szCs w:val="20"/>
              </w:rPr>
              <w:t>MP - GCID - PO - 01 - PR - 01 - FR - 02)</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722DE4" w14:paraId="04F36666" w14:textId="737C90D6">
            <w:pPr>
              <w:spacing w:after="0" w:line="240" w:lineRule="auto"/>
              <w:jc w:val="both"/>
              <w:rPr>
                <w:rFonts w:ascii="Arial" w:hAnsi="Arial" w:eastAsia="Times New Roman" w:cs="Arial"/>
                <w:bCs/>
                <w:sz w:val="20"/>
                <w:szCs w:val="20"/>
              </w:rPr>
            </w:pPr>
            <w:r w:rsidRPr="00722DE4">
              <w:rPr>
                <w:rFonts w:ascii="Arial" w:hAnsi="Arial" w:eastAsia="Times New Roman" w:cs="Arial"/>
                <w:bCs/>
                <w:sz w:val="20"/>
                <w:szCs w:val="20"/>
              </w:rPr>
              <w:t>BOLETINES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22DE4" w14:paraId="773B7858" w14:textId="3A4E6316">
            <w:pPr>
              <w:jc w:val="both"/>
              <w:rPr>
                <w:rFonts w:ascii="Arial" w:hAnsi="Arial" w:cs="Arial"/>
                <w:sz w:val="20"/>
                <w:szCs w:val="20"/>
              </w:rPr>
            </w:pPr>
            <w:r w:rsidRPr="00722DE4">
              <w:rPr>
                <w:rFonts w:ascii="Arial" w:hAnsi="Arial" w:cs="Arial"/>
                <w:sz w:val="20"/>
                <w:szCs w:val="20"/>
              </w:rPr>
              <w:t>Boletines Estadísticos</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03EB02D0" w14:paraId="5794922E"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ED65AC" w:rsidP="00AC523F" w:rsidRDefault="00722DE4" w14:paraId="58B0C1D5" w14:textId="08DCDDD3">
            <w:pPr>
              <w:snapToGrid w:val="0"/>
              <w:spacing w:after="0" w:line="240" w:lineRule="auto"/>
              <w:jc w:val="both"/>
              <w:rPr>
                <w:rFonts w:ascii="Arial" w:hAnsi="Arial" w:cs="Arial"/>
                <w:sz w:val="20"/>
                <w:szCs w:val="20"/>
              </w:rPr>
            </w:pPr>
            <w:r w:rsidRPr="00722DE4">
              <w:rPr>
                <w:rFonts w:ascii="Arial" w:hAnsi="Arial" w:cs="Arial"/>
                <w:sz w:val="20"/>
                <w:szCs w:val="20"/>
              </w:rPr>
              <w:t>Documentos que contienen información sobre el comportamiento de los servicios misionales de la Entidad con el fin de darlos a conocer a los grupos de valor regidos por Ley 1712 de 2004 que garantiza el derecho de acceso a la información pública, lo cual incluye los boletines estadísticos producidos por las entidades del Estado.</w:t>
            </w:r>
          </w:p>
          <w:p w:rsidR="00722DE4" w:rsidP="00AC523F" w:rsidRDefault="00722DE4" w14:paraId="1C369955" w14:textId="77777777">
            <w:pPr>
              <w:snapToGrid w:val="0"/>
              <w:spacing w:after="0" w:line="240" w:lineRule="auto"/>
              <w:jc w:val="both"/>
              <w:rPr>
                <w:rFonts w:ascii="Arial" w:hAnsi="Arial" w:cs="Arial"/>
                <w:sz w:val="20"/>
                <w:szCs w:val="20"/>
              </w:rPr>
            </w:pPr>
          </w:p>
          <w:p w:rsidR="00A021C2" w:rsidP="00AC523F" w:rsidRDefault="00A021C2" w14:paraId="11EA32F3" w14:textId="01590C62">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722DE4" w:rsidR="00722DE4" w:rsidP="00722DE4" w:rsidRDefault="00722DE4" w14:paraId="5F65F84A" w14:textId="77777777">
            <w:pPr>
              <w:pStyle w:val="Prrafodelista"/>
              <w:numPr>
                <w:ilvl w:val="0"/>
                <w:numId w:val="19"/>
              </w:numPr>
              <w:snapToGrid w:val="0"/>
              <w:spacing w:after="0" w:line="240" w:lineRule="auto"/>
              <w:jc w:val="both"/>
              <w:rPr>
                <w:rFonts w:ascii="Arial" w:hAnsi="Arial" w:cs="Arial"/>
                <w:bCs/>
                <w:sz w:val="20"/>
                <w:szCs w:val="20"/>
              </w:rPr>
            </w:pPr>
            <w:r w:rsidRPr="00722DE4">
              <w:rPr>
                <w:rFonts w:ascii="Arial" w:hAnsi="Arial" w:cs="Arial"/>
                <w:bCs/>
                <w:sz w:val="20"/>
                <w:szCs w:val="20"/>
              </w:rPr>
              <w:t>Comunicación oficial</w:t>
            </w:r>
          </w:p>
          <w:p w:rsidR="00722DE4" w:rsidP="00722DE4" w:rsidRDefault="00722DE4" w14:paraId="76C90139" w14:textId="77777777">
            <w:pPr>
              <w:numPr>
                <w:ilvl w:val="0"/>
                <w:numId w:val="19"/>
              </w:numPr>
              <w:snapToGrid w:val="0"/>
              <w:spacing w:after="0" w:line="240" w:lineRule="auto"/>
              <w:jc w:val="both"/>
              <w:rPr>
                <w:rFonts w:ascii="Arial" w:hAnsi="Arial" w:cs="Arial"/>
                <w:bCs/>
                <w:sz w:val="20"/>
                <w:szCs w:val="20"/>
              </w:rPr>
            </w:pPr>
            <w:r w:rsidRPr="00722DE4">
              <w:rPr>
                <w:rFonts w:ascii="Arial" w:hAnsi="Arial" w:cs="Arial"/>
                <w:bCs/>
                <w:sz w:val="20"/>
                <w:szCs w:val="20"/>
              </w:rPr>
              <w:t>Boletín estadístico</w:t>
            </w:r>
          </w:p>
          <w:p w:rsidRPr="00023F9E" w:rsidR="00023F9E" w:rsidP="00722DE4" w:rsidRDefault="00722DE4" w14:paraId="229209F4" w14:textId="53E0EBF5">
            <w:pPr>
              <w:snapToGrid w:val="0"/>
              <w:spacing w:after="0" w:line="240" w:lineRule="auto"/>
              <w:jc w:val="both"/>
              <w:rPr>
                <w:rFonts w:ascii="Arial" w:hAnsi="Arial" w:cs="Arial"/>
                <w:bCs/>
                <w:sz w:val="20"/>
                <w:szCs w:val="20"/>
              </w:rPr>
            </w:pPr>
            <w:r w:rsidRPr="00722DE4">
              <w:rPr>
                <w:rFonts w:ascii="Arial" w:hAnsi="Arial" w:cs="Arial"/>
                <w:bCs/>
                <w:sz w:val="20"/>
                <w:szCs w:val="20"/>
              </w:rPr>
              <w:t xml:space="preserve"> </w:t>
            </w:r>
          </w:p>
        </w:tc>
      </w:tr>
      <w:tr w:rsidR="007E164F" w:rsidTr="03EB02D0" w14:paraId="11FF41E0"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03EB02D0" w14:paraId="40BA3F45" w14:textId="77777777">
        <w:trPr>
          <w:trHeight w:val="360"/>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rsidTr="03EB02D0" w14:paraId="74E63E28" w14:textId="77777777">
        <w:trPr>
          <w:trHeight w:val="295"/>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7E164F" w:rsidTr="03EB02D0" w14:paraId="5C91940C" w14:textId="77777777">
        <w:trPr>
          <w:trHeight w:val="277"/>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3FEB6DBB" w14:textId="77777777">
            <w:pPr>
              <w:spacing w:after="0"/>
              <w:rPr>
                <w:rFonts w:ascii="Arial" w:hAnsi="Arial" w:cs="Arial"/>
                <w:bCs/>
                <w:sz w:val="20"/>
                <w:szCs w:val="20"/>
              </w:rPr>
            </w:pPr>
            <w:r w:rsidRPr="00637CD4">
              <w:rPr>
                <w:rFonts w:ascii="Arial" w:hAnsi="Arial" w:cs="Arial"/>
                <w:b/>
                <w:bCs/>
                <w:sz w:val="20"/>
                <w:szCs w:val="20"/>
              </w:rPr>
              <w:t>2.5 Fechas extremas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0EB7BB1" w:rsidRDefault="00ED120B" w14:paraId="45DD79AC" w14:textId="5B55616F">
            <w:pPr>
              <w:snapToGrid w:val="0"/>
              <w:spacing w:after="0"/>
              <w:jc w:val="both"/>
              <w:rPr>
                <w:rFonts w:ascii="Arial" w:hAnsi="Arial" w:cs="Arial"/>
                <w:bCs/>
                <w:color w:val="FF0000"/>
                <w:sz w:val="20"/>
                <w:szCs w:val="20"/>
              </w:rPr>
            </w:pPr>
            <w:r w:rsidRPr="00ED120B">
              <w:rPr>
                <w:rFonts w:ascii="Arial" w:hAnsi="Arial" w:eastAsia="Arial" w:cs="Arial"/>
                <w:sz w:val="20"/>
                <w:szCs w:val="20"/>
              </w:rPr>
              <w:t>30/04/2018 – 30/04/2024</w:t>
            </w:r>
          </w:p>
        </w:tc>
      </w:tr>
      <w:tr w:rsidR="007E164F" w:rsidTr="03EB02D0" w14:paraId="2105AAC7" w14:textId="77777777">
        <w:trPr>
          <w:trHeight w:val="302"/>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637CD4" w:rsidR="007E164F" w:rsidP="03EB02D0" w:rsidRDefault="00ED120B" w14:paraId="34A109E7" w14:textId="361878D9">
            <w:pPr>
              <w:snapToGrid w:val="0"/>
              <w:spacing w:after="0"/>
              <w:jc w:val="both"/>
              <w:rPr>
                <w:rFonts w:ascii="Arial" w:hAnsi="Arial" w:cs="Arial"/>
                <w:color w:val="FF0000"/>
                <w:sz w:val="20"/>
                <w:szCs w:val="20"/>
              </w:rPr>
            </w:pPr>
            <w:r w:rsidRPr="03EB02D0" w:rsidR="00ED120B">
              <w:rPr>
                <w:rFonts w:ascii="Arial" w:hAnsi="Arial" w:cs="Arial"/>
                <w:sz w:val="20"/>
                <w:szCs w:val="20"/>
              </w:rPr>
              <w:t>2,560ML</w:t>
            </w:r>
            <w:r w:rsidRPr="03EB02D0" w:rsidR="00ED120B">
              <w:rPr>
                <w:rFonts w:ascii="Arial" w:hAnsi="Arial" w:cs="Arial"/>
                <w:sz w:val="20"/>
                <w:szCs w:val="20"/>
              </w:rPr>
              <w:t xml:space="preserve"> – 4,32GB</w:t>
            </w:r>
            <w:r w:rsidRPr="03EB02D0" w:rsidR="35E19175">
              <w:rPr>
                <w:rFonts w:ascii="Arial" w:hAnsi="Arial" w:cs="Arial"/>
                <w:sz w:val="20"/>
                <w:szCs w:val="20"/>
              </w:rPr>
              <w:t xml:space="preserve"> </w:t>
            </w:r>
            <w:r w:rsidRPr="03EB02D0" w:rsidR="35E19175">
              <w:rPr>
                <w:rFonts w:ascii="Arial" w:hAnsi="Arial" w:cs="Arial"/>
                <w:sz w:val="18"/>
                <w:szCs w:val="18"/>
              </w:rPr>
              <w:t>(NTC 5029)</w:t>
            </w:r>
          </w:p>
        </w:tc>
      </w:tr>
      <w:tr w:rsidR="007E164F" w:rsidTr="03EB02D0" w14:paraId="0B1C4ACE" w14:textId="77777777">
        <w:trPr>
          <w:trHeight w:val="33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806487" w:rsidR="003202C1" w:rsidP="00EB7BB1" w:rsidRDefault="00637CD4" w14:paraId="3C6BB56F" w14:textId="13AAA0E6">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03EB02D0" w14:paraId="31EF8373"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806487" w:rsidP="00806487" w:rsidRDefault="00806487" w14:paraId="2366ED7B" w14:textId="27182A71">
            <w:pPr>
              <w:pStyle w:val="Textoindependiente"/>
              <w:numPr>
                <w:ilvl w:val="0"/>
                <w:numId w:val="17"/>
              </w:numPr>
              <w:spacing w:after="0" w:line="240" w:lineRule="auto"/>
              <w:ind w:left="342"/>
              <w:jc w:val="both"/>
              <w:rPr>
                <w:rFonts w:ascii="Arial" w:hAnsi="Arial" w:cs="Arial"/>
                <w:b/>
                <w:sz w:val="20"/>
                <w:szCs w:val="20"/>
              </w:rPr>
            </w:pPr>
            <w:r w:rsidRPr="00806487">
              <w:rPr>
                <w:rFonts w:ascii="Arial" w:hAnsi="Arial" w:cs="Arial"/>
                <w:b/>
                <w:sz w:val="20"/>
                <w:szCs w:val="20"/>
              </w:rPr>
              <w:lastRenderedPageBreak/>
              <w:t>Ley 1712 de 2004</w:t>
            </w:r>
            <w:r>
              <w:rPr>
                <w:rFonts w:ascii="Arial" w:hAnsi="Arial" w:cs="Arial"/>
                <w:b/>
                <w:sz w:val="20"/>
                <w:szCs w:val="20"/>
              </w:rPr>
              <w:t xml:space="preserve"> </w:t>
            </w:r>
            <w:r w:rsidRPr="00806487">
              <w:rPr>
                <w:rFonts w:ascii="Arial" w:hAnsi="Arial" w:cs="Arial"/>
                <w:b/>
                <w:sz w:val="20"/>
                <w:szCs w:val="20"/>
              </w:rPr>
              <w:t>(</w:t>
            </w:r>
            <w:r>
              <w:rPr>
                <w:rFonts w:ascii="Arial" w:hAnsi="Arial" w:cs="Arial"/>
                <w:b/>
                <w:sz w:val="20"/>
                <w:szCs w:val="20"/>
              </w:rPr>
              <w:t>m</w:t>
            </w:r>
            <w:r w:rsidRPr="00806487">
              <w:rPr>
                <w:rFonts w:ascii="Arial" w:hAnsi="Arial" w:cs="Arial"/>
                <w:b/>
                <w:sz w:val="20"/>
                <w:szCs w:val="20"/>
              </w:rPr>
              <w:t>arzo 6)</w:t>
            </w:r>
          </w:p>
          <w:p w:rsidRPr="00806487" w:rsidR="00732AD5" w:rsidP="00806487" w:rsidRDefault="00806487" w14:paraId="17AE8913" w14:textId="3EB14247">
            <w:pPr>
              <w:pStyle w:val="Textoindependiente"/>
              <w:spacing w:after="0" w:line="240" w:lineRule="auto"/>
              <w:ind w:left="342"/>
              <w:jc w:val="both"/>
              <w:rPr>
                <w:rFonts w:ascii="Arial" w:hAnsi="Arial" w:cs="Arial"/>
                <w:bCs/>
                <w:sz w:val="20"/>
                <w:szCs w:val="20"/>
              </w:rPr>
            </w:pPr>
            <w:r w:rsidRPr="00806487">
              <w:rPr>
                <w:rFonts w:ascii="Arial" w:hAnsi="Arial" w:cs="Arial"/>
                <w:bCs/>
                <w:sz w:val="20"/>
                <w:szCs w:val="20"/>
              </w:rPr>
              <w:t>Garantiza el derecho de acceso a la información pública, lo cual incluye los boletines estadísticos producidos por las entidades del Estado.</w:t>
            </w:r>
          </w:p>
          <w:p w:rsidRPr="00806487" w:rsidR="00806487" w:rsidP="00806487" w:rsidRDefault="00806487" w14:paraId="31487948" w14:textId="77777777">
            <w:pPr>
              <w:pStyle w:val="Textoindependiente"/>
              <w:spacing w:after="0" w:line="240" w:lineRule="auto"/>
              <w:ind w:left="342"/>
              <w:jc w:val="both"/>
              <w:rPr>
                <w:rFonts w:ascii="Arial" w:hAnsi="Arial" w:cs="Arial"/>
                <w:b/>
                <w:sz w:val="20"/>
                <w:szCs w:val="20"/>
              </w:rPr>
            </w:pPr>
          </w:p>
          <w:p w:rsidR="00806487" w:rsidP="00806487" w:rsidRDefault="00806487" w14:paraId="287103CB" w14:textId="77E45D18">
            <w:pPr>
              <w:pStyle w:val="Textoindependiente"/>
              <w:numPr>
                <w:ilvl w:val="0"/>
                <w:numId w:val="17"/>
              </w:numPr>
              <w:spacing w:after="0" w:line="240" w:lineRule="auto"/>
              <w:ind w:left="342"/>
              <w:jc w:val="both"/>
              <w:rPr>
                <w:rFonts w:ascii="Arial" w:hAnsi="Arial" w:cs="Arial"/>
                <w:b/>
                <w:sz w:val="20"/>
                <w:szCs w:val="20"/>
              </w:rPr>
            </w:pPr>
            <w:r w:rsidRPr="00806487">
              <w:rPr>
                <w:rFonts w:ascii="Arial" w:hAnsi="Arial" w:cs="Arial"/>
                <w:b/>
                <w:sz w:val="20"/>
                <w:szCs w:val="20"/>
              </w:rPr>
              <w:t>Ley 1266 de 2008</w:t>
            </w:r>
            <w:r>
              <w:rPr>
                <w:rFonts w:ascii="Arial" w:hAnsi="Arial" w:cs="Arial"/>
                <w:b/>
                <w:sz w:val="20"/>
                <w:szCs w:val="20"/>
              </w:rPr>
              <w:t xml:space="preserve"> </w:t>
            </w:r>
            <w:r w:rsidRPr="00806487">
              <w:rPr>
                <w:rFonts w:ascii="Arial" w:hAnsi="Arial" w:cs="Arial"/>
                <w:b/>
                <w:sz w:val="20"/>
                <w:szCs w:val="20"/>
              </w:rPr>
              <w:t>(</w:t>
            </w:r>
            <w:r>
              <w:rPr>
                <w:rFonts w:ascii="Arial" w:hAnsi="Arial" w:cs="Arial"/>
                <w:b/>
                <w:sz w:val="20"/>
                <w:szCs w:val="20"/>
              </w:rPr>
              <w:t>d</w:t>
            </w:r>
            <w:r w:rsidRPr="00806487">
              <w:rPr>
                <w:rFonts w:ascii="Arial" w:hAnsi="Arial" w:cs="Arial"/>
                <w:b/>
                <w:sz w:val="20"/>
                <w:szCs w:val="20"/>
              </w:rPr>
              <w:t>iciembre 31)</w:t>
            </w:r>
          </w:p>
          <w:p w:rsidRPr="00806487" w:rsidR="00732AD5" w:rsidP="00806487" w:rsidRDefault="00806487" w14:paraId="68293190" w14:textId="12AB5120">
            <w:pPr>
              <w:pStyle w:val="Textoindependiente"/>
              <w:spacing w:after="0" w:line="240" w:lineRule="auto"/>
              <w:ind w:left="342"/>
              <w:jc w:val="both"/>
              <w:rPr>
                <w:rFonts w:ascii="Arial" w:hAnsi="Arial" w:cs="Arial"/>
                <w:bCs/>
                <w:sz w:val="20"/>
                <w:szCs w:val="20"/>
              </w:rPr>
            </w:pPr>
            <w:r w:rsidRPr="03EB02D0" w:rsidR="60AA1ABA">
              <w:rPr>
                <w:rFonts w:ascii="Arial" w:hAnsi="Arial" w:cs="Arial"/>
                <w:sz w:val="20"/>
                <w:szCs w:val="20"/>
              </w:rPr>
              <w:t>Regula el tratamiento de los datos personales, asegurando que la información utilizada para la producción de boletines estadísticos sea manejada de manera confidencial y segura.</w:t>
            </w:r>
          </w:p>
          <w:p w:rsidR="03EB02D0" w:rsidP="03EB02D0" w:rsidRDefault="03EB02D0" w14:paraId="2A1669D7" w14:textId="17A681FB">
            <w:pPr>
              <w:pStyle w:val="Textoindependiente"/>
              <w:spacing w:after="0" w:line="240" w:lineRule="auto"/>
              <w:ind w:left="0"/>
              <w:jc w:val="both"/>
              <w:rPr>
                <w:rFonts w:ascii="Arial" w:hAnsi="Arial" w:cs="Arial"/>
                <w:sz w:val="20"/>
                <w:szCs w:val="20"/>
              </w:rPr>
            </w:pPr>
          </w:p>
          <w:p w:rsidR="5872AF81" w:rsidP="03EB02D0" w:rsidRDefault="5872AF81" w14:paraId="5FF99C29" w14:textId="1EB40446">
            <w:pPr>
              <w:pStyle w:val="Textoindependiente"/>
              <w:numPr>
                <w:ilvl w:val="0"/>
                <w:numId w:val="27"/>
              </w:numPr>
              <w:spacing w:after="0" w:line="240" w:lineRule="auto"/>
              <w:ind w:left="360"/>
              <w:jc w:val="both"/>
              <w:rPr>
                <w:rFonts w:ascii="Arial" w:hAnsi="Arial" w:cs="Arial"/>
                <w:b w:val="1"/>
                <w:bCs w:val="1"/>
                <w:sz w:val="20"/>
                <w:szCs w:val="20"/>
              </w:rPr>
            </w:pPr>
            <w:r w:rsidRPr="03EB02D0" w:rsidR="5872AF81">
              <w:rPr>
                <w:rFonts w:ascii="Arial" w:hAnsi="Arial" w:cs="Arial"/>
                <w:b w:val="1"/>
                <w:bCs w:val="1"/>
                <w:sz w:val="20"/>
                <w:szCs w:val="20"/>
              </w:rPr>
              <w:t>Ley 2335 de 2023 (octubre 03)</w:t>
            </w:r>
          </w:p>
          <w:p w:rsidR="5872AF81" w:rsidP="03EB02D0" w:rsidRDefault="5872AF81" w14:paraId="7578BCEA" w14:textId="63E38147">
            <w:pPr>
              <w:pStyle w:val="Textoindependiente"/>
              <w:spacing w:after="0" w:line="240" w:lineRule="auto"/>
              <w:ind w:left="360"/>
              <w:jc w:val="both"/>
              <w:rPr>
                <w:rFonts w:ascii="Arial" w:hAnsi="Arial" w:cs="Arial"/>
                <w:b w:val="1"/>
                <w:bCs w:val="1"/>
                <w:sz w:val="20"/>
                <w:szCs w:val="20"/>
              </w:rPr>
            </w:pPr>
            <w:r w:rsidRPr="03EB02D0" w:rsidR="5872AF81">
              <w:rPr>
                <w:rFonts w:ascii="Arial" w:hAnsi="Arial" w:cs="Arial"/>
                <w:sz w:val="20"/>
                <w:szCs w:val="20"/>
              </w:rPr>
              <w:t xml:space="preserve">Establece el marco jurídico general para la planificación, producción, difusión y administración de las estadísticas oficiales del </w:t>
            </w:r>
            <w:r w:rsidRPr="03EB02D0" w:rsidR="5872AF81">
              <w:rPr>
                <w:rFonts w:ascii="Arial" w:hAnsi="Arial" w:cs="Arial"/>
                <w:sz w:val="20"/>
                <w:szCs w:val="20"/>
              </w:rPr>
              <w:t>país.Define</w:t>
            </w:r>
            <w:r w:rsidRPr="03EB02D0" w:rsidR="5872AF81">
              <w:rPr>
                <w:rFonts w:ascii="Arial" w:hAnsi="Arial" w:cs="Arial"/>
                <w:sz w:val="20"/>
                <w:szCs w:val="20"/>
              </w:rPr>
              <w:t xml:space="preserve"> los principios que deben guiar la producción de estadísticas oficiales, como la objetividad, la relevancia, la comparabilidad y la transparencia.</w:t>
            </w:r>
          </w:p>
          <w:p w:rsidRPr="00C34F7D" w:rsidR="00C34F7D" w:rsidP="00AC5DD8" w:rsidRDefault="00C34F7D" w14:paraId="12506997" w14:textId="310ACBE1">
            <w:pPr>
              <w:pStyle w:val="Textoindependiente"/>
              <w:spacing w:after="0" w:line="240" w:lineRule="auto"/>
              <w:ind w:left="342"/>
              <w:jc w:val="both"/>
              <w:rPr>
                <w:rFonts w:ascii="Arial" w:hAnsi="Arial" w:cs="Arial"/>
                <w:bCs/>
                <w:sz w:val="20"/>
                <w:szCs w:val="20"/>
              </w:rPr>
            </w:pPr>
          </w:p>
        </w:tc>
      </w:tr>
      <w:tr w:rsidRPr="00492F29" w:rsidR="007E164F" w:rsidTr="03EB02D0" w14:paraId="45173694" w14:textId="77777777">
        <w:trPr>
          <w:trHeight w:val="186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492F29" w:rsidR="007E164F" w:rsidP="00EB7BB1" w:rsidRDefault="007E164F" w14:paraId="4C929217" w14:textId="77777777">
            <w:pPr>
              <w:spacing w:after="0" w:line="240" w:lineRule="auto"/>
              <w:jc w:val="both"/>
              <w:rPr>
                <w:rFonts w:ascii="Arial" w:hAnsi="Arial" w:cs="Arial"/>
                <w:b/>
                <w:bCs/>
                <w:sz w:val="20"/>
                <w:szCs w:val="20"/>
              </w:rPr>
            </w:pPr>
            <w:r w:rsidRPr="00492F29">
              <w:rPr>
                <w:rFonts w:ascii="Arial" w:hAnsi="Arial" w:eastAsia="Times New Roman" w:cs="Arial"/>
                <w:b/>
                <w:bCs/>
                <w:sz w:val="20"/>
                <w:szCs w:val="20"/>
              </w:rPr>
              <w:lastRenderedPageBreak/>
              <w:t>3.2 Legislación Específica</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6F00B1" w:rsidP="006F00B1" w:rsidRDefault="006F00B1" w14:paraId="305A39D2" w14:textId="77777777">
            <w:pPr>
              <w:pStyle w:val="Textoindependiente"/>
              <w:numPr>
                <w:ilvl w:val="0"/>
                <w:numId w:val="17"/>
              </w:numPr>
              <w:spacing w:after="0" w:line="240" w:lineRule="auto"/>
              <w:ind w:left="342"/>
              <w:jc w:val="both"/>
              <w:rPr>
                <w:rFonts w:ascii="Arial" w:hAnsi="Arial" w:eastAsia="Times New Roman" w:cs="Arial"/>
                <w:b/>
                <w:bCs/>
                <w:sz w:val="20"/>
                <w:szCs w:val="20"/>
                <w:lang w:eastAsia="es-CO"/>
              </w:rPr>
            </w:pPr>
            <w:r w:rsidRPr="006F00B1">
              <w:rPr>
                <w:rFonts w:ascii="Arial" w:hAnsi="Arial" w:eastAsia="Times New Roman" w:cs="Arial"/>
                <w:b/>
                <w:bCs/>
                <w:sz w:val="20"/>
                <w:szCs w:val="20"/>
                <w:lang w:eastAsia="es-CO"/>
              </w:rPr>
              <w:t>Decreto 2723 de 2014, artículo 15</w:t>
            </w:r>
          </w:p>
          <w:p w:rsidR="006F00B1" w:rsidP="006F00B1" w:rsidRDefault="006F00B1" w14:paraId="1221CE24" w14:textId="77777777">
            <w:pPr>
              <w:pStyle w:val="Textoindependiente"/>
              <w:spacing w:after="0" w:line="240" w:lineRule="auto"/>
              <w:ind w:left="342"/>
              <w:jc w:val="both"/>
              <w:rPr>
                <w:rFonts w:ascii="Arial" w:hAnsi="Arial" w:eastAsia="Times New Roman" w:cs="Arial"/>
                <w:b/>
                <w:bCs/>
                <w:sz w:val="20"/>
                <w:szCs w:val="20"/>
                <w:lang w:eastAsia="es-CO"/>
              </w:rPr>
            </w:pPr>
            <w:r w:rsidRPr="006F00B1">
              <w:rPr>
                <w:rFonts w:ascii="Arial" w:hAnsi="Arial" w:eastAsia="Times New Roman" w:cs="Arial"/>
                <w:sz w:val="20"/>
                <w:szCs w:val="20"/>
                <w:lang w:eastAsia="es-CO"/>
              </w:rPr>
              <w:t>Funciones de las Oficina Asesora de Planeación</w:t>
            </w:r>
            <w:r w:rsidRPr="00D86E07">
              <w:rPr>
                <w:rFonts w:ascii="Arial" w:hAnsi="Arial" w:eastAsia="Times New Roman" w:cs="Arial"/>
                <w:b/>
                <w:bCs/>
                <w:sz w:val="20"/>
                <w:szCs w:val="20"/>
                <w:lang w:eastAsia="es-CO"/>
              </w:rPr>
              <w:t xml:space="preserve"> </w:t>
            </w:r>
          </w:p>
          <w:p w:rsidR="006F00B1" w:rsidP="006F00B1" w:rsidRDefault="006F00B1" w14:paraId="06D6AD61" w14:textId="77777777">
            <w:pPr>
              <w:pStyle w:val="Textoindependiente"/>
              <w:spacing w:after="0" w:line="240" w:lineRule="auto"/>
              <w:jc w:val="both"/>
              <w:rPr>
                <w:rFonts w:ascii="Arial" w:hAnsi="Arial" w:eastAsia="Times New Roman" w:cs="Arial"/>
                <w:b/>
                <w:bCs/>
                <w:sz w:val="20"/>
                <w:szCs w:val="20"/>
                <w:lang w:eastAsia="es-CO"/>
              </w:rPr>
            </w:pPr>
          </w:p>
          <w:p w:rsidR="00D86E07" w:rsidP="006F00B1" w:rsidRDefault="00D86E07" w14:paraId="4449CCD5" w14:textId="35EE0230">
            <w:pPr>
              <w:pStyle w:val="Textoindependiente"/>
              <w:numPr>
                <w:ilvl w:val="0"/>
                <w:numId w:val="17"/>
              </w:numPr>
              <w:spacing w:after="0" w:line="240" w:lineRule="auto"/>
              <w:ind w:left="342"/>
              <w:jc w:val="both"/>
              <w:rPr>
                <w:rFonts w:ascii="Arial" w:hAnsi="Arial" w:eastAsia="Times New Roman" w:cs="Arial"/>
                <w:b/>
                <w:bCs/>
                <w:sz w:val="20"/>
                <w:szCs w:val="20"/>
                <w:lang w:eastAsia="es-CO"/>
              </w:rPr>
            </w:pPr>
            <w:r w:rsidRPr="00D86E07">
              <w:rPr>
                <w:rFonts w:ascii="Arial" w:hAnsi="Arial" w:eastAsia="Times New Roman" w:cs="Arial"/>
                <w:b/>
                <w:bCs/>
                <w:sz w:val="20"/>
                <w:szCs w:val="20"/>
                <w:lang w:eastAsia="es-CO"/>
              </w:rPr>
              <w:t>Norma Técnica de la Calidad del Proceso Estadístico (NTC-PE:1000/2020)</w:t>
            </w:r>
          </w:p>
          <w:p w:rsidR="009B57B2" w:rsidP="00D86E07" w:rsidRDefault="00D86E07" w14:paraId="2DBBCE4A" w14:textId="34311E65">
            <w:pPr>
              <w:pStyle w:val="Textoindependiente"/>
              <w:spacing w:after="0" w:line="240" w:lineRule="auto"/>
              <w:ind w:left="342"/>
              <w:jc w:val="both"/>
              <w:rPr>
                <w:rFonts w:ascii="Arial" w:hAnsi="Arial" w:eastAsia="Times New Roman" w:cs="Arial"/>
                <w:sz w:val="20"/>
                <w:szCs w:val="20"/>
                <w:lang w:eastAsia="es-CO"/>
              </w:rPr>
            </w:pPr>
            <w:r w:rsidRPr="00D86E07">
              <w:rPr>
                <w:rFonts w:ascii="Arial" w:hAnsi="Arial" w:eastAsia="Times New Roman" w:cs="Arial"/>
                <w:sz w:val="20"/>
                <w:szCs w:val="20"/>
                <w:lang w:eastAsia="es-CO"/>
              </w:rPr>
              <w:t xml:space="preserve">Norma que establece los requisitos que deben cumplir las entidades de </w:t>
            </w:r>
            <w:r w:rsidRPr="00D86E07">
              <w:rPr>
                <w:rFonts w:ascii="Arial" w:hAnsi="Arial" w:eastAsia="Times New Roman" w:cs="Arial"/>
                <w:sz w:val="20"/>
                <w:szCs w:val="20"/>
                <w:lang w:eastAsia="es-CO"/>
              </w:rPr>
              <w:t>carácter</w:t>
            </w:r>
            <w:r w:rsidRPr="00D86E07">
              <w:rPr>
                <w:rFonts w:ascii="Arial" w:hAnsi="Arial" w:eastAsia="Times New Roman" w:cs="Arial"/>
                <w:sz w:val="20"/>
                <w:szCs w:val="20"/>
                <w:lang w:eastAsia="es-CO"/>
              </w:rPr>
              <w:t xml:space="preserve"> público que producen y difunden estadísticas.</w:t>
            </w:r>
          </w:p>
          <w:p w:rsidRPr="006F00B1" w:rsidR="009B57B2" w:rsidP="006F00B1" w:rsidRDefault="009B57B2" w14:paraId="582CADDF" w14:textId="6CC72EC5">
            <w:pPr>
              <w:pStyle w:val="Textoindependiente"/>
              <w:spacing w:after="0" w:line="240" w:lineRule="auto"/>
              <w:ind w:left="342"/>
              <w:jc w:val="both"/>
              <w:rPr>
                <w:rFonts w:ascii="Arial" w:hAnsi="Arial" w:eastAsia="Times New Roman" w:cs="Arial"/>
                <w:sz w:val="20"/>
                <w:szCs w:val="20"/>
                <w:lang w:eastAsia="es-CO"/>
              </w:rPr>
            </w:pP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03EB02D0"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03EB02D0"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3059C3" w:rsidR="007B1832" w:rsidP="03EB02D0" w:rsidRDefault="00C9587F" w14:noSpellErr="1" w14:paraId="24906312" w14:textId="167A47D9">
            <w:pPr>
              <w:snapToGrid w:val="0"/>
              <w:spacing w:after="0" w:line="240" w:lineRule="auto"/>
              <w:jc w:val="both"/>
              <w:rPr>
                <w:rFonts w:ascii="Arial" w:hAnsi="Arial" w:cs="Arial"/>
                <w:sz w:val="20"/>
                <w:szCs w:val="20"/>
              </w:rPr>
            </w:pPr>
            <w:r w:rsidRPr="03EB02D0" w:rsidR="22D89BBC">
              <w:rPr>
                <w:rFonts w:ascii="Arial" w:hAnsi="Arial" w:cs="Arial"/>
                <w:sz w:val="20"/>
                <w:szCs w:val="20"/>
              </w:rPr>
              <w:t>Información fundamental para la entidad que da cumplimiento y respaldo a las funciones dadas a la Superintendencia de Notariado y Registro y a la Oficina Asesora de Planeación descritas en el Decreto 2723 de 2014, para el pleno cumplimiento de sus actividades misionales en virtud de la función pública, a través de la generación de datos estadísticos de calidad esenciales para diseñar las políticas de la Entidad y así mismo evaluar su impacto.</w:t>
            </w:r>
          </w:p>
          <w:p w:rsidRPr="003059C3" w:rsidR="007B1832" w:rsidP="03EB02D0" w:rsidRDefault="00C9587F" w14:paraId="537CAB75" w14:textId="144906BB">
            <w:pPr>
              <w:snapToGrid w:val="0"/>
              <w:spacing w:after="0" w:line="240" w:lineRule="auto"/>
              <w:jc w:val="both"/>
              <w:rPr>
                <w:rFonts w:ascii="Arial" w:hAnsi="Arial" w:cs="Arial"/>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039A5" w14:paraId="70CA88D5" w14:textId="7C50D70F">
            <w:pPr>
              <w:snapToGrid w:val="0"/>
              <w:spacing w:after="0" w:line="240" w:lineRule="auto"/>
              <w:jc w:val="center"/>
            </w:pPr>
            <w:r>
              <w:t>2</w:t>
            </w:r>
            <w:r w:rsidR="007E164F">
              <w:t xml:space="preserve"> años</w:t>
            </w:r>
          </w:p>
        </w:tc>
      </w:tr>
      <w:tr w:rsidR="007E164F" w:rsidTr="03EB02D0"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C8246C" w:rsidR="007E164F" w:rsidP="03EB02D0" w:rsidRDefault="00C9587F" w14:textId="4340B757" w14:noSpellErr="1" w14:paraId="6276716B">
            <w:pPr>
              <w:spacing w:after="0" w:line="240" w:lineRule="auto"/>
              <w:jc w:val="both"/>
              <w:rPr>
                <w:rFonts w:ascii="Arial" w:hAnsi="Arial" w:cs="Arial"/>
                <w:sz w:val="20"/>
                <w:szCs w:val="20"/>
              </w:rPr>
            </w:pPr>
            <w:r w:rsidRPr="00C9587F" w:rsidR="22D89BBC">
              <w:rPr>
                <w:rFonts w:ascii="Arial" w:hAnsi="Arial" w:cs="Arial"/>
                <w:sz w:val="20"/>
                <w:szCs w:val="20"/>
                <w:shd w:val="clear" w:color="auto" w:fill="FFFFFF"/>
              </w:rPr>
              <w:t>Los datos contenidos en un boletín estadístico pueden servir como evidencia jurídica, especialmente si se utilizan para respaldar o refutar una afirmación, sirviendo de prueba en futuras investigaciones o litigios.</w:t>
            </w:r>
          </w:p>
          <w:p w:rsidRPr="00C8246C" w:rsidR="007E164F" w:rsidP="00EB7BB1" w:rsidRDefault="00C9587F" w14:paraId="3607AFFD" w14:textId="7FB23EA2">
            <w:pPr>
              <w:spacing w:after="0" w:line="240" w:lineRule="auto"/>
              <w:jc w:val="both"/>
              <w:rPr>
                <w:rFonts w:ascii="Arial" w:hAnsi="Arial" w:cs="Arial"/>
                <w:sz w:val="20"/>
                <w:szCs w:val="20"/>
                <w:shd w:val="clear" w:color="auto" w:fill="FFFFFF"/>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C9587F" w14:paraId="5FF75E3E" w14:textId="6A867D0C">
            <w:pPr>
              <w:snapToGrid w:val="0"/>
              <w:spacing w:after="0" w:line="240" w:lineRule="auto"/>
              <w:jc w:val="both"/>
            </w:pPr>
            <w:r>
              <w:t>8</w:t>
            </w:r>
            <w:r w:rsidR="007E164F">
              <w:t xml:space="preserve"> años</w:t>
            </w:r>
          </w:p>
        </w:tc>
      </w:tr>
      <w:tr w:rsidR="007E164F" w:rsidTr="03EB02D0"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C9587F" w14:paraId="3BD741A1" w14:textId="0FEB2D5E">
            <w:pPr>
              <w:snapToGrid w:val="0"/>
              <w:spacing w:after="0" w:line="240" w:lineRule="auto"/>
              <w:jc w:val="both"/>
              <w:rPr>
                <w:rFonts w:ascii="Arial" w:hAnsi="Arial" w:eastAsia="Times New Roman" w:cs="Arial"/>
                <w:bCs/>
                <w:sz w:val="20"/>
                <w:szCs w:val="20"/>
              </w:rPr>
            </w:pPr>
            <w:proofErr w:type="gramStart"/>
            <w:r>
              <w:rPr>
                <w:rFonts w:ascii="Arial" w:hAnsi="Arial" w:cs="Arial"/>
                <w:bCs/>
                <w:sz w:val="20"/>
                <w:szCs w:val="20"/>
              </w:rPr>
              <w:t>N.A</w:t>
            </w:r>
            <w:proofErr w:type="gramEnd"/>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C9587F" w14:paraId="4BFD8259" w14:textId="47199899">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r w:rsidR="007E164F" w:rsidTr="03EB02D0" w14:paraId="6E1BB75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E80E92" w:rsidR="00037F83" w:rsidP="008039A5" w:rsidRDefault="00C9587F" w14:paraId="1A4F2C8D" w14:textId="6555D6A8">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E7F9C" w14:paraId="6A6CE1B4" w14:textId="412509BD">
            <w:pPr>
              <w:snapToGrid w:val="0"/>
              <w:spacing w:after="0" w:line="240" w:lineRule="auto"/>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00EB7BB1" w14:paraId="022BD11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00EB7BB1" w14:paraId="5C7A43C8"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D113A7" w:rsidP="003F32FD" w:rsidRDefault="000A5F76" w14:paraId="088119DA" w14:textId="77777777">
            <w:pPr>
              <w:snapToGrid w:val="0"/>
              <w:spacing w:after="0" w:line="240" w:lineRule="auto"/>
              <w:jc w:val="both"/>
              <w:rPr>
                <w:rFonts w:ascii="Arial" w:hAnsi="Arial" w:cs="Arial"/>
                <w:sz w:val="20"/>
              </w:rPr>
            </w:pPr>
            <w:r w:rsidRPr="000A5F76">
              <w:rPr>
                <w:rFonts w:ascii="Arial" w:hAnsi="Arial" w:cs="Arial"/>
                <w:sz w:val="20"/>
              </w:rPr>
              <w:t xml:space="preserve">Los boletines estadísticos son una publicación periódica que presenta un conjunto de datos numéricos y su análisis, relacionados con los temas específicos de la entidad que guardan un interés público y ciudadano al tratar asuntos de </w:t>
            </w:r>
            <w:r w:rsidRPr="000A5F76">
              <w:rPr>
                <w:rFonts w:ascii="Arial" w:hAnsi="Arial" w:cs="Arial"/>
                <w:sz w:val="20"/>
              </w:rPr>
              <w:t>injerencia</w:t>
            </w:r>
            <w:r w:rsidRPr="000A5F76">
              <w:rPr>
                <w:rFonts w:ascii="Arial" w:hAnsi="Arial" w:cs="Arial"/>
                <w:sz w:val="20"/>
              </w:rPr>
              <w:t xml:space="preserve"> nacional, regional y </w:t>
            </w:r>
            <w:r w:rsidRPr="000A5F76">
              <w:rPr>
                <w:rFonts w:ascii="Arial" w:hAnsi="Arial" w:cs="Arial"/>
                <w:sz w:val="20"/>
              </w:rPr>
              <w:t>cotidiana</w:t>
            </w:r>
            <w:r w:rsidRPr="000A5F76">
              <w:rPr>
                <w:rFonts w:ascii="Arial" w:hAnsi="Arial" w:cs="Arial"/>
                <w:sz w:val="20"/>
              </w:rPr>
              <w:t xml:space="preserve"> inherente a la ciudadanía, siendo </w:t>
            </w:r>
            <w:r w:rsidRPr="000A5F76">
              <w:rPr>
                <w:rFonts w:ascii="Arial" w:hAnsi="Arial" w:cs="Arial"/>
                <w:sz w:val="20"/>
              </w:rPr>
              <w:t>fuente</w:t>
            </w:r>
            <w:r w:rsidRPr="000A5F76">
              <w:rPr>
                <w:rFonts w:ascii="Arial" w:hAnsi="Arial" w:cs="Arial"/>
                <w:sz w:val="20"/>
              </w:rPr>
              <w:t xml:space="preserve"> fundamental histórica e integral para el estudio de los procesos notariales, registrales, de las políticas de participación </w:t>
            </w:r>
            <w:r w:rsidRPr="000A5F76">
              <w:rPr>
                <w:rFonts w:ascii="Arial" w:hAnsi="Arial" w:cs="Arial"/>
                <w:sz w:val="20"/>
              </w:rPr>
              <w:lastRenderedPageBreak/>
              <w:t>ciudadana, restitución, protección y formalización de tierras que se adelantan en el país.</w:t>
            </w:r>
          </w:p>
          <w:p w:rsidRPr="003F32FD" w:rsidR="000A5F76" w:rsidP="003F32FD" w:rsidRDefault="000A5F76" w14:paraId="5B6212DB" w14:textId="5657FC91">
            <w:pPr>
              <w:snapToGrid w:val="0"/>
              <w:spacing w:after="0" w:line="240" w:lineRule="auto"/>
              <w:jc w:val="both"/>
              <w:rPr>
                <w:rFonts w:ascii="Arial" w:hAnsi="Arial" w:cs="Arial"/>
                <w:sz w:val="20"/>
              </w:rPr>
            </w:pPr>
          </w:p>
        </w:tc>
      </w:tr>
      <w:tr w:rsidR="007E164F" w:rsidTr="00EB7BB1" w14:paraId="54B33CD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lastRenderedPageBreak/>
              <w:t>4.2.2 Valor científico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D113A7" w:rsidP="00D113A7" w:rsidRDefault="000A5F76" w14:paraId="5839B83F" w14:textId="77777777">
            <w:pPr>
              <w:snapToGrid w:val="0"/>
              <w:spacing w:after="0" w:line="240" w:lineRule="auto"/>
              <w:jc w:val="both"/>
              <w:rPr>
                <w:rFonts w:ascii="Arial" w:hAnsi="Arial" w:eastAsia="Times New Roman" w:cs="Arial"/>
                <w:bCs/>
                <w:sz w:val="20"/>
              </w:rPr>
            </w:pPr>
            <w:r w:rsidRPr="000A5F76">
              <w:rPr>
                <w:rFonts w:ascii="Arial" w:hAnsi="Arial" w:eastAsia="Times New Roman" w:cs="Arial"/>
                <w:bCs/>
                <w:sz w:val="20"/>
              </w:rPr>
              <w:t>Los boletines permiten analizar de manera integral indicadores relacionados con procesos específicos de la gestión institucional, en aspectos específicos de la función notarial, registral y de todas aquellas actividades misionales llevadas a cabo por la Entidad. Por ello, constituye un insumo esencial para la toma de decisiones y el diseño de estrategias a nivel institucional. Estos documentos permiten análisis de comparabilidad, al comparar los datos a lo largo del tiempo y entre diferentes regiones del país.</w:t>
            </w:r>
          </w:p>
          <w:p w:rsidRPr="00AE5F05" w:rsidR="000A5F76" w:rsidP="00D113A7" w:rsidRDefault="000A5F76" w14:paraId="37BC7A79" w14:textId="5BC96522">
            <w:pPr>
              <w:snapToGrid w:val="0"/>
              <w:spacing w:after="0" w:line="240" w:lineRule="auto"/>
              <w:jc w:val="both"/>
              <w:rPr>
                <w:rFonts w:ascii="Arial" w:hAnsi="Arial" w:eastAsia="Times New Roman" w:cs="Arial"/>
                <w:bCs/>
                <w:sz w:val="20"/>
              </w:rPr>
            </w:pPr>
          </w:p>
        </w:tc>
      </w:tr>
      <w:tr w:rsidR="007E164F" w:rsidTr="00EB7BB1" w14:paraId="76820E76"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0A5F76" w14:paraId="392DF71D" w14:textId="77777777">
            <w:pPr>
              <w:snapToGrid w:val="0"/>
              <w:spacing w:after="0" w:line="240" w:lineRule="auto"/>
              <w:jc w:val="both"/>
              <w:rPr>
                <w:rFonts w:ascii="Arial" w:hAnsi="Arial" w:eastAsia="Times New Roman" w:cs="Arial"/>
                <w:bCs/>
                <w:color w:val="000000"/>
                <w:sz w:val="20"/>
                <w:lang w:eastAsia="es-ES"/>
              </w:rPr>
            </w:pPr>
            <w:r w:rsidRPr="000A5F76">
              <w:rPr>
                <w:rFonts w:ascii="Arial" w:hAnsi="Arial" w:eastAsia="Times New Roman" w:cs="Arial"/>
                <w:bCs/>
                <w:color w:val="000000"/>
                <w:sz w:val="20"/>
                <w:lang w:eastAsia="es-ES"/>
              </w:rPr>
              <w:t xml:space="preserve">Los datos también son una forma de expresión cultural. Los boletines estadísticos, a pesar de su apariencia técnica y numérica, son reflejo de la sociedad y </w:t>
            </w:r>
            <w:proofErr w:type="spellStart"/>
            <w:r w:rsidRPr="000A5F76">
              <w:rPr>
                <w:rFonts w:ascii="Arial" w:hAnsi="Arial" w:eastAsia="Times New Roman" w:cs="Arial"/>
                <w:bCs/>
                <w:color w:val="000000"/>
                <w:sz w:val="20"/>
                <w:lang w:eastAsia="es-ES"/>
              </w:rPr>
              <w:t>y</w:t>
            </w:r>
            <w:proofErr w:type="spellEnd"/>
            <w:r w:rsidRPr="000A5F76">
              <w:rPr>
                <w:rFonts w:ascii="Arial" w:hAnsi="Arial" w:eastAsia="Times New Roman" w:cs="Arial"/>
                <w:bCs/>
                <w:color w:val="000000"/>
                <w:sz w:val="20"/>
                <w:lang w:eastAsia="es-ES"/>
              </w:rPr>
              <w:t xml:space="preserve"> su contexto cultural. Los datos estadísticos capturan aspectos de la vida cotidiana que a menudo pasan desapercibidos. Muestran patrones de comportamiento, tendencias sociales y cambios a lo largo del tiempo.</w:t>
            </w:r>
          </w:p>
          <w:p w:rsidRPr="00AE5F05" w:rsidR="000A5F76" w:rsidP="00EB7BB1" w:rsidRDefault="000A5F76" w14:paraId="252423E7" w14:textId="0C47CA71">
            <w:pPr>
              <w:snapToGrid w:val="0"/>
              <w:spacing w:after="0" w:line="240" w:lineRule="auto"/>
              <w:jc w:val="both"/>
              <w:rPr>
                <w:rFonts w:ascii="Arial" w:hAnsi="Arial" w:eastAsia="Times New Roman" w:cs="Arial"/>
                <w:bCs/>
                <w:color w:val="000000"/>
                <w:sz w:val="20"/>
                <w:lang w:eastAsia="es-ES"/>
              </w:rPr>
            </w:pPr>
          </w:p>
        </w:tc>
      </w:tr>
      <w:tr w:rsidR="005C6C3B" w:rsidTr="00EB7BB1" w14:paraId="52FB2A1F" w14:textId="77777777">
        <w:tc>
          <w:tcPr>
            <w:tcW w:w="2638" w:type="dxa"/>
            <w:tcBorders>
              <w:top w:val="single" w:color="000000" w:sz="4" w:space="0"/>
              <w:left w:val="single" w:color="000000" w:sz="4" w:space="0"/>
              <w:bottom w:val="single" w:color="000000" w:sz="4" w:space="0"/>
            </w:tcBorders>
            <w:shd w:val="clear" w:color="auto" w:fill="auto"/>
          </w:tcPr>
          <w:p w:rsidR="005C6C3B" w:rsidP="00EB7BB1" w:rsidRDefault="005C6C3B" w14:paraId="28FE9E14" w14:textId="4AFA5C03">
            <w:pPr>
              <w:spacing w:after="0" w:line="240" w:lineRule="auto"/>
              <w:jc w:val="both"/>
              <w:rPr>
                <w:rFonts w:ascii="Arial" w:hAnsi="Arial" w:eastAsia="Times New Roman" w:cs="Arial"/>
                <w:b/>
                <w:bCs/>
                <w:sz w:val="20"/>
                <w:szCs w:val="20"/>
              </w:rPr>
            </w:pPr>
            <w:r>
              <w:rPr>
                <w:rFonts w:ascii="Arial" w:hAnsi="Arial" w:eastAsia="Times New Roman" w:cs="Arial"/>
                <w:b/>
                <w:bCs/>
                <w:sz w:val="20"/>
                <w:szCs w:val="20"/>
              </w:rPr>
              <w:t>4.2.4 Valor Técnico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5C6C3B" w:rsidP="00EB7BB1" w:rsidRDefault="005C6C3B" w14:paraId="17C545C2" w14:textId="77777777">
            <w:pPr>
              <w:snapToGrid w:val="0"/>
              <w:spacing w:after="0" w:line="240" w:lineRule="auto"/>
              <w:jc w:val="both"/>
              <w:rPr>
                <w:rFonts w:ascii="Arial" w:hAnsi="Arial" w:eastAsia="Times New Roman" w:cs="Arial"/>
                <w:bCs/>
                <w:color w:val="000000"/>
                <w:sz w:val="20"/>
                <w:lang w:eastAsia="es-ES"/>
              </w:rPr>
            </w:pPr>
            <w:r w:rsidRPr="005C6C3B">
              <w:rPr>
                <w:rFonts w:ascii="Arial" w:hAnsi="Arial" w:eastAsia="Times New Roman" w:cs="Arial"/>
                <w:bCs/>
                <w:color w:val="000000"/>
                <w:sz w:val="20"/>
                <w:lang w:eastAsia="es-ES"/>
              </w:rPr>
              <w:t>Al aplicar normas técnicas de calidad estadística, estos documentos detallan los requisitos que deben cumplir los procesos estadísticos para asegurar la calidad de los datos. Incluyen aspectos como la definición de conceptos, la clasificación de variables, los métodos de muestreo, los procedimientos de cálculo y los controles de calidad.</w:t>
            </w:r>
          </w:p>
          <w:p w:rsidRPr="000A5F76" w:rsidR="005C6C3B" w:rsidP="00EB7BB1" w:rsidRDefault="005C6C3B" w14:paraId="4B0326FA" w14:textId="70B98236">
            <w:pPr>
              <w:snapToGrid w:val="0"/>
              <w:spacing w:after="0" w:line="240" w:lineRule="auto"/>
              <w:jc w:val="both"/>
              <w:rPr>
                <w:rFonts w:ascii="Arial" w:hAnsi="Arial" w:eastAsia="Times New Roman" w:cs="Arial"/>
                <w:bCs/>
                <w:color w:val="000000"/>
                <w:sz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A473FE" w14:paraId="457BE31A" w14:textId="76269DCE">
            <w:pPr>
              <w:spacing w:after="0"/>
              <w:jc w:val="center"/>
            </w:pPr>
            <w:r>
              <w:t>X</w:t>
            </w: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012EF370" w14:textId="4280E5A4">
            <w:pPr>
              <w:tabs>
                <w:tab w:val="left" w:pos="972"/>
              </w:tabs>
              <w:snapToGrid w:val="0"/>
              <w:spacing w:after="0"/>
              <w:jc w:val="center"/>
              <w:rPr>
                <w:rFonts w:ascii="Arial" w:hAnsi="Arial" w:cs="Arial"/>
                <w:b/>
              </w:rPr>
            </w:pP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lastRenderedPageBreak/>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5DEB2BE4" w:rsidR="007E164F">
        <w:rPr>
          <w:rFonts w:ascii="Arial" w:hAnsi="Arial" w:cs="Arial"/>
          <w:b w:val="1"/>
          <w:bCs w:val="1"/>
          <w:sz w:val="20"/>
          <w:szCs w:val="20"/>
        </w:rPr>
        <w:t xml:space="preserve">Procedimiento TRD: </w:t>
      </w:r>
    </w:p>
    <w:p w:rsidR="17BAB47F" w:rsidP="5DEB2BE4" w:rsidRDefault="17BAB47F" w14:paraId="265DF84B" w14:textId="207E7AE4">
      <w:pPr>
        <w:jc w:val="both"/>
        <w:rPr>
          <w:rFonts w:ascii="Arial" w:hAnsi="Arial" w:cs="Arial"/>
          <w:sz w:val="20"/>
          <w:szCs w:val="20"/>
        </w:rPr>
      </w:pPr>
      <w:r w:rsidRPr="5DEB2BE4" w:rsidR="17BAB47F">
        <w:rPr>
          <w:rFonts w:ascii="Arial" w:hAnsi="Arial" w:cs="Arial"/>
          <w:sz w:val="20"/>
          <w:szCs w:val="20"/>
        </w:rPr>
        <w:t>Subserie que contiene información sobre el comportamiento de los servicios misionales de la Entidad con el fin de darlos a conocer a los grupos de valor regidos por Ley 1712 de 2004 que garantiza el derecho de acceso a la información pública, lo cual incluye los boletines estadísticos producidos por las entidades del Estado.</w:t>
      </w:r>
    </w:p>
    <w:p w:rsidR="17BAB47F" w:rsidP="5DEB2BE4" w:rsidRDefault="17BAB47F" w14:paraId="6E62E286" w14:textId="0D3412C5">
      <w:pPr>
        <w:pStyle w:val="Normal"/>
        <w:jc w:val="both"/>
      </w:pPr>
      <w:r w:rsidRPr="5DEB2BE4" w:rsidR="17BAB47F">
        <w:rPr>
          <w:rFonts w:ascii="Arial" w:hAnsi="Arial" w:cs="Arial"/>
          <w:sz w:val="20"/>
          <w:szCs w:val="20"/>
        </w:rPr>
        <w:t xml:space="preserve">Se conserva (2) años en el archivo de gestión, contados a partir de la fecha del último boletín que se emita en la respectiva vigencia fiscal. Una vez culminado este tiempo, se transfiere al archivo central, en donde se conservará por (8) años más. </w:t>
      </w:r>
    </w:p>
    <w:p w:rsidR="17BAB47F" w:rsidP="5DEB2BE4" w:rsidRDefault="17BAB47F" w14:paraId="346089C3" w14:textId="44A01FF4">
      <w:pPr>
        <w:pStyle w:val="Normal"/>
        <w:jc w:val="both"/>
      </w:pPr>
      <w:r w:rsidRPr="5DEB2BE4" w:rsidR="17BAB47F">
        <w:rPr>
          <w:rFonts w:ascii="Arial" w:hAnsi="Arial" w:cs="Arial"/>
          <w:sz w:val="20"/>
          <w:szCs w:val="20"/>
        </w:rPr>
        <w:t>Son documentos de conservación total con publicación periódica cuatrimestral que presenta un conjunto de datos numéricos y su análisis, relacionados con los temas misionales específicos de la entidad que guardan un interés público y ciudadano al tratar asuntos de injerencia nacional, regional y cotidiana inherente a la ciudadanía, siendo fuente fundamental histórica e integral para el estudio de los procesos notariales.</w:t>
      </w:r>
    </w:p>
    <w:p w:rsidR="17BAB47F" w:rsidP="5DEB2BE4" w:rsidRDefault="17BAB47F" w14:paraId="69A9C216" w14:textId="01F4F7FE">
      <w:pPr>
        <w:pStyle w:val="Normal"/>
        <w:jc w:val="both"/>
        <w:rPr>
          <w:rFonts w:ascii="Arial" w:hAnsi="Arial" w:cs="Arial"/>
          <w:sz w:val="20"/>
          <w:szCs w:val="20"/>
        </w:rPr>
      </w:pPr>
      <w:r w:rsidRPr="5DEB2BE4" w:rsidR="17BAB47F">
        <w:rPr>
          <w:rFonts w:ascii="Arial" w:hAnsi="Arial" w:cs="Arial"/>
          <w:sz w:val="20"/>
          <w:szCs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13D47" w:rsidP="00757B36" w:rsidRDefault="00313D47" w14:paraId="6E11F523" w14:textId="77777777">
      <w:pPr>
        <w:spacing w:after="0" w:line="240" w:lineRule="auto"/>
      </w:pPr>
      <w:r>
        <w:separator/>
      </w:r>
    </w:p>
  </w:endnote>
  <w:endnote w:type="continuationSeparator" w:id="0">
    <w:p w:rsidR="00313D47" w:rsidP="00757B36" w:rsidRDefault="00313D47" w14:paraId="1B7294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13D47" w:rsidP="00757B36" w:rsidRDefault="00313D47" w14:paraId="02249E91" w14:textId="77777777">
      <w:pPr>
        <w:spacing w:after="0" w:line="240" w:lineRule="auto"/>
      </w:pPr>
      <w:r>
        <w:separator/>
      </w:r>
    </w:p>
  </w:footnote>
  <w:footnote w:type="continuationSeparator" w:id="0">
    <w:p w:rsidR="00313D47" w:rsidP="00757B36" w:rsidRDefault="00313D47" w14:paraId="2D7100C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4">
    <w:nsid w:val="7c873b6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3790dc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E98ADAA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27">
    <w:abstractNumId w:val="24"/>
  </w:num>
  <w:num w:numId="26">
    <w:abstractNumId w:val="23"/>
  </w: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678E0"/>
    <w:rsid w:val="00081A09"/>
    <w:rsid w:val="00084B8F"/>
    <w:rsid w:val="000A5F76"/>
    <w:rsid w:val="000A76A1"/>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E549B"/>
    <w:rsid w:val="0030489C"/>
    <w:rsid w:val="00304ED1"/>
    <w:rsid w:val="00311208"/>
    <w:rsid w:val="00312ED8"/>
    <w:rsid w:val="003136CF"/>
    <w:rsid w:val="00313D47"/>
    <w:rsid w:val="003202C1"/>
    <w:rsid w:val="0033454A"/>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9157D"/>
    <w:rsid w:val="006D7A3C"/>
    <w:rsid w:val="006F00B1"/>
    <w:rsid w:val="006F377E"/>
    <w:rsid w:val="006F4964"/>
    <w:rsid w:val="00714CBA"/>
    <w:rsid w:val="0072211B"/>
    <w:rsid w:val="00722DE4"/>
    <w:rsid w:val="00723491"/>
    <w:rsid w:val="007309A7"/>
    <w:rsid w:val="00732AD5"/>
    <w:rsid w:val="007405DB"/>
    <w:rsid w:val="007406B0"/>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6034A"/>
    <w:rsid w:val="00974D63"/>
    <w:rsid w:val="009830D0"/>
    <w:rsid w:val="009B57B2"/>
    <w:rsid w:val="009C2C88"/>
    <w:rsid w:val="009D286C"/>
    <w:rsid w:val="009D2D83"/>
    <w:rsid w:val="009D46D7"/>
    <w:rsid w:val="009F17A6"/>
    <w:rsid w:val="00A021C2"/>
    <w:rsid w:val="00A22605"/>
    <w:rsid w:val="00A325B8"/>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A552A"/>
    <w:rsid w:val="00DB55AE"/>
    <w:rsid w:val="00DE40EF"/>
    <w:rsid w:val="00E00705"/>
    <w:rsid w:val="00E11D01"/>
    <w:rsid w:val="00E4168C"/>
    <w:rsid w:val="00E475E6"/>
    <w:rsid w:val="00E523B1"/>
    <w:rsid w:val="00E7649B"/>
    <w:rsid w:val="00EA1F42"/>
    <w:rsid w:val="00ED120B"/>
    <w:rsid w:val="00ED16CB"/>
    <w:rsid w:val="00ED4781"/>
    <w:rsid w:val="00ED65AC"/>
    <w:rsid w:val="00EE2471"/>
    <w:rsid w:val="00EE5B0B"/>
    <w:rsid w:val="00EF06D0"/>
    <w:rsid w:val="00F050F8"/>
    <w:rsid w:val="00F14FB2"/>
    <w:rsid w:val="00F156D7"/>
    <w:rsid w:val="00F200D3"/>
    <w:rsid w:val="00F2621C"/>
    <w:rsid w:val="00F263E8"/>
    <w:rsid w:val="00F630B5"/>
    <w:rsid w:val="00F6545F"/>
    <w:rsid w:val="00FC14F5"/>
    <w:rsid w:val="00FC5609"/>
    <w:rsid w:val="00FD636E"/>
    <w:rsid w:val="00FD6655"/>
    <w:rsid w:val="00FD7F84"/>
    <w:rsid w:val="00FE7D00"/>
    <w:rsid w:val="03EB02D0"/>
    <w:rsid w:val="041648C0"/>
    <w:rsid w:val="0C44A927"/>
    <w:rsid w:val="17BAB47F"/>
    <w:rsid w:val="22D89BBC"/>
    <w:rsid w:val="35E19175"/>
    <w:rsid w:val="3A2D593A"/>
    <w:rsid w:val="4C8A0C78"/>
    <w:rsid w:val="4D0F6340"/>
    <w:rsid w:val="5872AF81"/>
    <w:rsid w:val="5DEB2BE4"/>
    <w:rsid w:val="60AA1ABA"/>
    <w:rsid w:val="68BE04AF"/>
    <w:rsid w:val="7DDBB0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47</revision>
  <lastPrinted>2024-06-27T12:28:00.0000000Z</lastPrinted>
  <dcterms:created xsi:type="dcterms:W3CDTF">2024-12-14T01:47:00.0000000Z</dcterms:created>
  <dcterms:modified xsi:type="dcterms:W3CDTF">2024-12-23T10:54:03.4176831Z</dcterms:modified>
</coreProperties>
</file>